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4C1E4" w14:textId="77777777" w:rsidR="000F265F" w:rsidRPr="005D3A14" w:rsidRDefault="000F265F" w:rsidP="000F265F">
      <w:pPr>
        <w:pStyle w:val="Tekstpodstawowy2"/>
        <w:spacing w:before="120" w:after="120"/>
        <w:jc w:val="center"/>
        <w:rPr>
          <w:rFonts w:ascii="Open Sans Light" w:hAnsi="Open Sans Light" w:cs="Open Sans Light"/>
          <w:b/>
          <w:bCs/>
          <w:sz w:val="22"/>
          <w:szCs w:val="22"/>
        </w:rPr>
      </w:pPr>
    </w:p>
    <w:p w14:paraId="2DB04AEB" w14:textId="1A8C339D" w:rsidR="000F265F" w:rsidRPr="00590D9C" w:rsidRDefault="000F265F" w:rsidP="00590D9C">
      <w:pPr>
        <w:pStyle w:val="Nagwek1"/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</w:pPr>
      <w:r w:rsidRPr="00590D9C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Waloryzacja dofinansowania stanowiącego pomoc publiczną</w:t>
      </w:r>
    </w:p>
    <w:p w14:paraId="5F36EFE9" w14:textId="77777777" w:rsidR="000F265F" w:rsidRPr="005D3A14" w:rsidRDefault="000F265F" w:rsidP="00725F6D">
      <w:pPr>
        <w:pStyle w:val="Akapitzlist"/>
        <w:numPr>
          <w:ilvl w:val="0"/>
          <w:numId w:val="1"/>
        </w:numPr>
        <w:spacing w:before="60" w:after="120" w:line="276" w:lineRule="auto"/>
        <w:ind w:left="425" w:hanging="425"/>
        <w:rPr>
          <w:rFonts w:ascii="Open Sans Light" w:hAnsi="Open Sans Light" w:cs="Open Sans Light"/>
        </w:rPr>
      </w:pPr>
      <w:r w:rsidRPr="005D3A14">
        <w:rPr>
          <w:rFonts w:ascii="Open Sans Light" w:hAnsi="Open Sans Light" w:cs="Open Sans Light"/>
        </w:rPr>
        <w:t>Instytucja Wdrażająca/Instytucja Pośrednicząca, pod warunkiem dostępności środków, może zwiększyć kwotę dofinansowania Projektu, jeżeli wynika to z nieprzewidywalnego na etapie opracowania wniosku o dofinansowanie wzrostu wartości wydatków kwalifikowalnych Projektu, któremu przy zachowaniu należytej staranności nie można było zapobiec.</w:t>
      </w:r>
    </w:p>
    <w:p w14:paraId="599EB5FA" w14:textId="708FD655" w:rsidR="000F265F" w:rsidRPr="005D3A14" w:rsidRDefault="000F265F" w:rsidP="00725F6D">
      <w:pPr>
        <w:pStyle w:val="Akapitzlist"/>
        <w:numPr>
          <w:ilvl w:val="0"/>
          <w:numId w:val="1"/>
        </w:numPr>
        <w:spacing w:before="60" w:after="120" w:line="276" w:lineRule="auto"/>
        <w:ind w:left="425" w:hanging="425"/>
        <w:rPr>
          <w:rFonts w:ascii="Open Sans Light" w:hAnsi="Open Sans Light" w:cs="Open Sans Light"/>
        </w:rPr>
      </w:pPr>
      <w:r w:rsidRPr="005D3A14">
        <w:rPr>
          <w:rFonts w:ascii="Open Sans Light" w:hAnsi="Open Sans Light" w:cs="Open Sans Light"/>
        </w:rPr>
        <w:t xml:space="preserve">Przez nieprzewidywalny wzrost wartości wydatków kwalifikowalnych Projektu, o którym mowa w ust. 1, należy rozumieć wzrost kosztów realizacji Projektu powiązany ze wzrostem wartości wskaźnika cen towarów i usług konsumpcyjnych </w:t>
      </w:r>
      <w:r w:rsidRPr="005D3A14">
        <w:rPr>
          <w:rFonts w:ascii="Open Sans Light" w:hAnsi="Open Sans Light" w:cs="Open Sans Light"/>
          <w:strike/>
        </w:rPr>
        <w:t>/…………………………….</w:t>
      </w:r>
      <w:r w:rsidRPr="005D3A14">
        <w:rPr>
          <w:rStyle w:val="Odwoanieprzypisudolnego"/>
          <w:rFonts w:ascii="Open Sans Light" w:hAnsi="Open Sans Light" w:cs="Open Sans Light"/>
          <w:strike/>
        </w:rPr>
        <w:footnoteReference w:id="1"/>
      </w:r>
      <w:r w:rsidRPr="005D3A14">
        <w:rPr>
          <w:rFonts w:ascii="Open Sans Light" w:hAnsi="Open Sans Light" w:cs="Open Sans Light"/>
        </w:rPr>
        <w:t xml:space="preserve"> </w:t>
      </w:r>
      <w:r w:rsidRPr="005D3A14">
        <w:rPr>
          <w:rFonts w:ascii="Open Sans Light" w:hAnsi="Open Sans Light" w:cs="Open Sans Light"/>
          <w:b/>
          <w:bCs/>
        </w:rPr>
        <w:t>o więcej</w:t>
      </w:r>
      <w:r w:rsidRPr="005D3A14">
        <w:rPr>
          <w:rFonts w:ascii="Open Sans Light" w:hAnsi="Open Sans Light" w:cs="Open Sans Light"/>
        </w:rPr>
        <w:t xml:space="preserve"> </w:t>
      </w:r>
      <w:r w:rsidR="00A16000" w:rsidRPr="005D3A14">
        <w:rPr>
          <w:rFonts w:ascii="Open Sans Light" w:hAnsi="Open Sans Light" w:cs="Open Sans Light"/>
          <w:b/>
          <w:bCs/>
        </w:rPr>
        <w:t>niż 10</w:t>
      </w:r>
      <w:r w:rsidR="00A16000" w:rsidRPr="005D3A14">
        <w:rPr>
          <w:rFonts w:ascii="Open Sans Light" w:hAnsi="Open Sans Light" w:cs="Open Sans Light"/>
        </w:rPr>
        <w:t xml:space="preserve"> </w:t>
      </w:r>
      <w:r w:rsidRPr="005D3A14">
        <w:rPr>
          <w:rFonts w:ascii="Open Sans Light" w:hAnsi="Open Sans Light" w:cs="Open Sans Light"/>
          <w:b/>
          <w:bCs/>
        </w:rPr>
        <w:t>punktów procentowych</w:t>
      </w:r>
      <w:r w:rsidRPr="005D3A14">
        <w:rPr>
          <w:rStyle w:val="Odwoanieprzypisudolnego"/>
          <w:rFonts w:ascii="Open Sans Light" w:hAnsi="Open Sans Light" w:cs="Open Sans Light"/>
        </w:rPr>
        <w:footnoteReference w:id="2"/>
      </w:r>
      <w:r w:rsidRPr="005D3A14">
        <w:rPr>
          <w:rFonts w:ascii="Open Sans Light" w:hAnsi="Open Sans Light" w:cs="Open Sans Light"/>
        </w:rPr>
        <w:t xml:space="preserve"> niż prognozowany średnioroczny wskaźnik cen towarów i usług konsumpcyjnych </w:t>
      </w:r>
      <w:r w:rsidRPr="005D3A14">
        <w:rPr>
          <w:rFonts w:ascii="Open Sans Light" w:hAnsi="Open Sans Light" w:cs="Open Sans Light"/>
          <w:strike/>
        </w:rPr>
        <w:t>/ ………………………………..</w:t>
      </w:r>
      <w:r w:rsidRPr="005D3A14">
        <w:rPr>
          <w:rStyle w:val="Odwoanieprzypisudolnego"/>
          <w:rFonts w:ascii="Open Sans Light" w:hAnsi="Open Sans Light" w:cs="Open Sans Light"/>
          <w:strike/>
        </w:rPr>
        <w:footnoteReference w:id="3"/>
      </w:r>
    </w:p>
    <w:p w14:paraId="38B82D15" w14:textId="77777777" w:rsidR="000F265F" w:rsidRPr="005D3A14" w:rsidRDefault="000F265F" w:rsidP="00725F6D">
      <w:pPr>
        <w:pStyle w:val="Akapitzlist"/>
        <w:numPr>
          <w:ilvl w:val="0"/>
          <w:numId w:val="1"/>
        </w:numPr>
        <w:spacing w:before="60" w:after="120" w:line="276" w:lineRule="auto"/>
        <w:ind w:left="425" w:hanging="425"/>
        <w:rPr>
          <w:rFonts w:ascii="Open Sans Light" w:hAnsi="Open Sans Light" w:cs="Open Sans Light"/>
        </w:rPr>
      </w:pPr>
      <w:r w:rsidRPr="005D3A14">
        <w:rPr>
          <w:rFonts w:ascii="Open Sans Light" w:hAnsi="Open Sans Light" w:cs="Open Sans Light"/>
        </w:rPr>
        <w:t>Odpowiednich obliczeń dokonuje się na podstawie danych o wybranym w chwili składania wniosku o zwiększenie kwoty dofinansowania Projektu, prognozowanym średniorocznym wskaźniku cen towarów i usług konsumpcyjnych</w:t>
      </w:r>
      <w:r w:rsidRPr="005D3A14">
        <w:rPr>
          <w:rFonts w:ascii="Open Sans Light" w:hAnsi="Open Sans Light" w:cs="Open Sans Light"/>
          <w:strike/>
        </w:rPr>
        <w:t xml:space="preserve"> / ……………………</w:t>
      </w:r>
      <w:r w:rsidRPr="005D3A14">
        <w:rPr>
          <w:rStyle w:val="Odwoanieprzypisudolnego"/>
          <w:rFonts w:ascii="Open Sans Light" w:hAnsi="Open Sans Light" w:cs="Open Sans Light"/>
          <w:strike/>
        </w:rPr>
        <w:footnoteReference w:id="4"/>
      </w:r>
      <w:r w:rsidRPr="005D3A14">
        <w:rPr>
          <w:rFonts w:ascii="Open Sans Light" w:hAnsi="Open Sans Light" w:cs="Open Sans Light"/>
          <w:strike/>
        </w:rPr>
        <w:t xml:space="preserve"> publikowanym przez …………………………..</w:t>
      </w:r>
      <w:r w:rsidRPr="005D3A14">
        <w:rPr>
          <w:rStyle w:val="Odwoanieprzypisudolnego"/>
          <w:rFonts w:ascii="Open Sans Light" w:hAnsi="Open Sans Light" w:cs="Open Sans Light"/>
          <w:strike/>
        </w:rPr>
        <w:footnoteReference w:id="5"/>
      </w:r>
      <w:r w:rsidRPr="005D3A14">
        <w:rPr>
          <w:rFonts w:ascii="Open Sans Light" w:hAnsi="Open Sans Light" w:cs="Open Sans Light"/>
          <w:strike/>
        </w:rPr>
        <w:t>.</w:t>
      </w:r>
    </w:p>
    <w:p w14:paraId="0CA662BD" w14:textId="77777777" w:rsidR="000F265F" w:rsidRPr="005D3A14" w:rsidRDefault="000F265F" w:rsidP="00725F6D">
      <w:pPr>
        <w:pStyle w:val="Akapitzlist"/>
        <w:numPr>
          <w:ilvl w:val="0"/>
          <w:numId w:val="1"/>
        </w:numPr>
        <w:spacing w:before="60" w:after="120" w:line="276" w:lineRule="auto"/>
        <w:ind w:left="425" w:hanging="425"/>
        <w:rPr>
          <w:rFonts w:ascii="Open Sans Light" w:hAnsi="Open Sans Light" w:cs="Open Sans Light"/>
        </w:rPr>
      </w:pPr>
      <w:r w:rsidRPr="005D3A14">
        <w:rPr>
          <w:rFonts w:ascii="Open Sans Light" w:hAnsi="Open Sans Light" w:cs="Open Sans Light"/>
        </w:rPr>
        <w:t>Zwiększenie kwoty dofinansowania, o której mowa w ust. 1, jest dopuszczalne, jeżeli bez jej podwyższenia Projekt:</w:t>
      </w:r>
    </w:p>
    <w:p w14:paraId="6626938C" w14:textId="77777777" w:rsidR="000F265F" w:rsidRPr="005D3A14" w:rsidRDefault="000F265F" w:rsidP="00725F6D">
      <w:pPr>
        <w:pStyle w:val="Akapitzlist"/>
        <w:numPr>
          <w:ilvl w:val="0"/>
          <w:numId w:val="2"/>
        </w:numPr>
        <w:spacing w:before="60" w:after="120" w:line="276" w:lineRule="auto"/>
        <w:rPr>
          <w:rFonts w:ascii="Open Sans Light" w:hAnsi="Open Sans Light" w:cs="Open Sans Light"/>
        </w:rPr>
      </w:pPr>
      <w:r w:rsidRPr="005D3A14">
        <w:rPr>
          <w:rFonts w:ascii="Open Sans Light" w:hAnsi="Open Sans Light" w:cs="Open Sans Light"/>
        </w:rPr>
        <w:t>nie może zostać zrealizowany, albo</w:t>
      </w:r>
    </w:p>
    <w:p w14:paraId="70F7461C" w14:textId="77777777" w:rsidR="000F265F" w:rsidRPr="005D3A14" w:rsidRDefault="000F265F" w:rsidP="00725F6D">
      <w:pPr>
        <w:pStyle w:val="Akapitzlist"/>
        <w:numPr>
          <w:ilvl w:val="0"/>
          <w:numId w:val="2"/>
        </w:numPr>
        <w:spacing w:before="60" w:after="120" w:line="276" w:lineRule="auto"/>
        <w:rPr>
          <w:rFonts w:ascii="Open Sans Light" w:hAnsi="Open Sans Light" w:cs="Open Sans Light"/>
        </w:rPr>
      </w:pPr>
      <w:r w:rsidRPr="005D3A14">
        <w:rPr>
          <w:rFonts w:ascii="Open Sans Light" w:hAnsi="Open Sans Light" w:cs="Open Sans Light"/>
        </w:rPr>
        <w:t xml:space="preserve">nie może zostać zrealizowany w takim samym zakresie lub na takich samych warunkach, jak było to początkowo planowane we wniosku o dofinansowanie. </w:t>
      </w:r>
    </w:p>
    <w:p w14:paraId="5949A1B9" w14:textId="77777777" w:rsidR="000F265F" w:rsidRPr="005D3A14" w:rsidRDefault="000F265F" w:rsidP="00725F6D">
      <w:pPr>
        <w:pStyle w:val="Akapitzlist"/>
        <w:numPr>
          <w:ilvl w:val="0"/>
          <w:numId w:val="1"/>
        </w:numPr>
        <w:spacing w:before="60" w:after="120" w:line="276" w:lineRule="auto"/>
        <w:ind w:left="425" w:hanging="425"/>
        <w:rPr>
          <w:rFonts w:ascii="Open Sans Light" w:hAnsi="Open Sans Light" w:cs="Open Sans Light"/>
        </w:rPr>
      </w:pPr>
      <w:r w:rsidRPr="005D3A14">
        <w:rPr>
          <w:rFonts w:ascii="Open Sans Light" w:hAnsi="Open Sans Light" w:cs="Open Sans Light"/>
        </w:rPr>
        <w:t xml:space="preserve">Beneficjent jest zobowiązany wykazać przyczyny i poziom nieprzewidywalnego wzrostu kosztów realizacji Projektu we wniosku o zwiększenie kwoty dofinansowania Projektu, z zastosowaniem wskaźnika wzrostu kosztów cen towarów i usług </w:t>
      </w:r>
      <w:r w:rsidRPr="005D3A14">
        <w:rPr>
          <w:rFonts w:ascii="Open Sans Light" w:hAnsi="Open Sans Light" w:cs="Open Sans Light"/>
        </w:rPr>
        <w:lastRenderedPageBreak/>
        <w:t>konsumpcyjnych</w:t>
      </w:r>
      <w:r w:rsidRPr="005D3A14">
        <w:rPr>
          <w:rFonts w:ascii="Open Sans Light" w:hAnsi="Open Sans Light" w:cs="Open Sans Light"/>
          <w:strike/>
        </w:rPr>
        <w:t>/………………………</w:t>
      </w:r>
      <w:r w:rsidRPr="005D3A14">
        <w:rPr>
          <w:rStyle w:val="Odwoanieprzypisudolnego"/>
          <w:rFonts w:ascii="Open Sans Light" w:hAnsi="Open Sans Light" w:cs="Open Sans Light"/>
          <w:strike/>
        </w:rPr>
        <w:footnoteReference w:id="6"/>
      </w:r>
      <w:r w:rsidRPr="005D3A14">
        <w:rPr>
          <w:rFonts w:ascii="Open Sans Light" w:hAnsi="Open Sans Light" w:cs="Open Sans Light"/>
        </w:rPr>
        <w:t>, o którym mowa w ust. 2 i 3. We wniosku tym Beneficjent jest zobowiązany wykazać wysoce prawdopodobne i spodziewane zaistnienie skutku braku zwiększenia kwoty dofinansowania określonego w ust. 4.</w:t>
      </w:r>
    </w:p>
    <w:p w14:paraId="78CE124A" w14:textId="77777777" w:rsidR="000F265F" w:rsidRPr="005D3A14" w:rsidRDefault="000F265F" w:rsidP="00725F6D">
      <w:pPr>
        <w:pStyle w:val="Akapitzlist"/>
        <w:numPr>
          <w:ilvl w:val="0"/>
          <w:numId w:val="1"/>
        </w:numPr>
        <w:spacing w:before="60" w:after="120" w:line="276" w:lineRule="auto"/>
        <w:ind w:left="425" w:hanging="425"/>
        <w:rPr>
          <w:rFonts w:ascii="Open Sans Light" w:hAnsi="Open Sans Light" w:cs="Open Sans Light"/>
        </w:rPr>
      </w:pPr>
      <w:r w:rsidRPr="005D3A14">
        <w:rPr>
          <w:rFonts w:ascii="Open Sans Light" w:hAnsi="Open Sans Light" w:cs="Open Sans Light"/>
        </w:rPr>
        <w:t>Zwiększenie kwoty dofinansowania nie może prowadzić do zmiany zakresu przedmiotowego, charakteru ani celów Projektu. Intensywność pomocy nie może zostać zwiększona.</w:t>
      </w:r>
    </w:p>
    <w:p w14:paraId="14A0AA28" w14:textId="1E2DA344" w:rsidR="000F265F" w:rsidRPr="005D3A14" w:rsidRDefault="000F265F" w:rsidP="00725F6D">
      <w:pPr>
        <w:pStyle w:val="Akapitzlist"/>
        <w:numPr>
          <w:ilvl w:val="0"/>
          <w:numId w:val="1"/>
        </w:numPr>
        <w:spacing w:before="60" w:after="120" w:line="276" w:lineRule="auto"/>
        <w:ind w:left="425" w:hanging="425"/>
        <w:rPr>
          <w:rFonts w:ascii="Open Sans Light" w:hAnsi="Open Sans Light" w:cs="Open Sans Light"/>
        </w:rPr>
      </w:pPr>
      <w:r w:rsidRPr="005D3A14">
        <w:rPr>
          <w:rFonts w:ascii="Open Sans Light" w:hAnsi="Open Sans Light" w:cs="Open Sans Light"/>
        </w:rPr>
        <w:t xml:space="preserve">Kwota dofinansowania wskazana w § 6 ust.1 nie może zostać zwiększona </w:t>
      </w:r>
      <w:r w:rsidRPr="005D3A14">
        <w:rPr>
          <w:rFonts w:ascii="Open Sans Light" w:hAnsi="Open Sans Light" w:cs="Open Sans Light"/>
          <w:b/>
          <w:bCs/>
        </w:rPr>
        <w:t>o więcej niż 25%</w:t>
      </w:r>
      <w:r w:rsidRPr="005D3A14">
        <w:rPr>
          <w:rStyle w:val="Odwoanieprzypisudolnego"/>
          <w:rFonts w:ascii="Open Sans Light" w:hAnsi="Open Sans Light" w:cs="Open Sans Light"/>
        </w:rPr>
        <w:footnoteReference w:id="7"/>
      </w:r>
      <w:r w:rsidRPr="005D3A14">
        <w:rPr>
          <w:rFonts w:ascii="Open Sans Light" w:hAnsi="Open Sans Light" w:cs="Open Sans Light"/>
        </w:rPr>
        <w:t>. Stopa dofinansowania pozostaje bez zmian. Całkowita kwota pomocy nie może przekraczać …</w:t>
      </w:r>
      <w:r w:rsidRPr="005D3A14">
        <w:rPr>
          <w:rStyle w:val="Odwoanieprzypisudolnego"/>
          <w:rFonts w:ascii="Open Sans Light" w:hAnsi="Open Sans Light" w:cs="Open Sans Light"/>
        </w:rPr>
        <w:footnoteReference w:id="8"/>
      </w:r>
      <w:r w:rsidRPr="005D3A14">
        <w:rPr>
          <w:rFonts w:ascii="Open Sans Light" w:hAnsi="Open Sans Light" w:cs="Open Sans Light"/>
        </w:rPr>
        <w:t xml:space="preserve"> .</w:t>
      </w:r>
    </w:p>
    <w:p w14:paraId="72AC6B03" w14:textId="77777777" w:rsidR="000F265F" w:rsidRPr="005D3A14" w:rsidRDefault="000F265F" w:rsidP="00725F6D">
      <w:pPr>
        <w:pStyle w:val="Akapitzlist"/>
        <w:numPr>
          <w:ilvl w:val="0"/>
          <w:numId w:val="1"/>
        </w:numPr>
        <w:spacing w:before="60" w:after="120" w:line="276" w:lineRule="auto"/>
        <w:ind w:left="425" w:hanging="425"/>
        <w:rPr>
          <w:rFonts w:ascii="Open Sans Light" w:hAnsi="Open Sans Light" w:cs="Open Sans Light"/>
        </w:rPr>
      </w:pPr>
      <w:r w:rsidRPr="005D3A14">
        <w:rPr>
          <w:rFonts w:ascii="Open Sans Light" w:hAnsi="Open Sans Light" w:cs="Open Sans Light"/>
        </w:rPr>
        <w:t xml:space="preserve">Zmiana Umowy poprzez uwzględnienie nieprzewidywalnego wzrostu kosztów realizacji Projektu wymaga dla swojej skuteczności złożenia przez obie Strony zgodnych oświadczeń woli w formie aneksu. </w:t>
      </w:r>
    </w:p>
    <w:p w14:paraId="67AE8389" w14:textId="77777777" w:rsidR="00BA4DDB" w:rsidRPr="005D3A14" w:rsidRDefault="00BA4DDB" w:rsidP="00725F6D">
      <w:pPr>
        <w:spacing w:line="276" w:lineRule="auto"/>
        <w:rPr>
          <w:rFonts w:ascii="Open Sans Light" w:hAnsi="Open Sans Light" w:cs="Open Sans Light"/>
        </w:rPr>
      </w:pPr>
    </w:p>
    <w:sectPr w:rsidR="00BA4DDB" w:rsidRPr="005D3A1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C73E5" w14:textId="77777777" w:rsidR="000F265F" w:rsidRDefault="000F265F" w:rsidP="000F265F">
      <w:pPr>
        <w:spacing w:after="0" w:line="240" w:lineRule="auto"/>
      </w:pPr>
      <w:r>
        <w:separator/>
      </w:r>
    </w:p>
  </w:endnote>
  <w:endnote w:type="continuationSeparator" w:id="0">
    <w:p w14:paraId="3B43A8D2" w14:textId="77777777" w:rsidR="000F265F" w:rsidRDefault="000F265F" w:rsidP="000F2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363F0" w14:textId="77777777" w:rsidR="000F265F" w:rsidRDefault="000F265F" w:rsidP="000F265F">
      <w:pPr>
        <w:spacing w:after="0" w:line="240" w:lineRule="auto"/>
      </w:pPr>
      <w:r>
        <w:separator/>
      </w:r>
    </w:p>
  </w:footnote>
  <w:footnote w:type="continuationSeparator" w:id="0">
    <w:p w14:paraId="11273F51" w14:textId="77777777" w:rsidR="000F265F" w:rsidRDefault="000F265F" w:rsidP="000F265F">
      <w:pPr>
        <w:spacing w:after="0" w:line="240" w:lineRule="auto"/>
      </w:pPr>
      <w:r>
        <w:continuationSeparator/>
      </w:r>
    </w:p>
  </w:footnote>
  <w:footnote w:id="1">
    <w:p w14:paraId="5B9251EB" w14:textId="77777777" w:rsidR="000F265F" w:rsidRPr="005D3A14" w:rsidRDefault="000F265F" w:rsidP="00725F6D">
      <w:pPr>
        <w:pStyle w:val="Tekstprzypisudolnego"/>
        <w:spacing w:line="276" w:lineRule="auto"/>
        <w:rPr>
          <w:rFonts w:ascii="Open Sans Light" w:hAnsi="Open Sans Light" w:cs="Open Sans Light"/>
          <w:color w:val="000000" w:themeColor="text1"/>
          <w:sz w:val="16"/>
          <w:szCs w:val="16"/>
        </w:rPr>
      </w:pPr>
      <w:r w:rsidRPr="005D3A14">
        <w:rPr>
          <w:rStyle w:val="Odwoanieprzypisudolnego"/>
          <w:rFonts w:ascii="Open Sans Light" w:hAnsi="Open Sans Light" w:cs="Open Sans Light"/>
          <w:color w:val="000000" w:themeColor="text1"/>
          <w:sz w:val="16"/>
          <w:szCs w:val="16"/>
        </w:rPr>
        <w:footnoteRef/>
      </w:r>
      <w:r w:rsidRPr="005D3A14">
        <w:rPr>
          <w:rFonts w:ascii="Open Sans Light" w:hAnsi="Open Sans Light" w:cs="Open Sans Light"/>
          <w:color w:val="000000" w:themeColor="text1"/>
          <w:sz w:val="16"/>
          <w:szCs w:val="16"/>
        </w:rPr>
        <w:t xml:space="preserve"> Można skorzystać z innego wskaźnika, niż</w:t>
      </w:r>
      <w:r w:rsidRPr="005D3A14">
        <w:rPr>
          <w:rFonts w:ascii="Open Sans Light" w:hAnsi="Open Sans Light" w:cs="Open Sans Light"/>
          <w:strike/>
          <w:color w:val="000000" w:themeColor="text1"/>
          <w:sz w:val="16"/>
          <w:szCs w:val="16"/>
        </w:rPr>
        <w:t xml:space="preserve"> </w:t>
      </w:r>
      <w:r w:rsidRPr="005D3A14">
        <w:rPr>
          <w:rFonts w:ascii="Open Sans Light" w:hAnsi="Open Sans Light" w:cs="Open Sans Light"/>
          <w:color w:val="000000" w:themeColor="text1"/>
          <w:sz w:val="16"/>
          <w:szCs w:val="16"/>
        </w:rPr>
        <w:t>wskaźnik cen towarów i usług konsumpcyjnych, jednak tylko wówczas, gdy jest on równie obiektywny, jak</w:t>
      </w:r>
      <w:r w:rsidRPr="005D3A14">
        <w:rPr>
          <w:rFonts w:ascii="Open Sans Light" w:hAnsi="Open Sans Light" w:cs="Open Sans Light"/>
          <w:strike/>
          <w:color w:val="000000" w:themeColor="text1"/>
          <w:sz w:val="16"/>
          <w:szCs w:val="16"/>
        </w:rPr>
        <w:t xml:space="preserve"> </w:t>
      </w:r>
      <w:r w:rsidRPr="005D3A14">
        <w:rPr>
          <w:rFonts w:ascii="Open Sans Light" w:hAnsi="Open Sans Light" w:cs="Open Sans Light"/>
          <w:color w:val="000000" w:themeColor="text1"/>
          <w:sz w:val="16"/>
          <w:szCs w:val="16"/>
        </w:rPr>
        <w:t>wskaźnik cen towarów i usług konsumpcyjnych. Zaleca się, żeby dla danego naboru został określony jeden wskaźnik dla wszystkich beneficjentów. Niepotrzebne należy wykreślić. Należy pozostawić wybrany wskaźnik.</w:t>
      </w:r>
    </w:p>
  </w:footnote>
  <w:footnote w:id="2">
    <w:p w14:paraId="175D79B8" w14:textId="77777777" w:rsidR="000F265F" w:rsidRPr="005D3A14" w:rsidRDefault="000F265F" w:rsidP="00725F6D">
      <w:pPr>
        <w:pStyle w:val="Tekstprzypisudolnego"/>
        <w:spacing w:line="276" w:lineRule="auto"/>
        <w:rPr>
          <w:rFonts w:ascii="Open Sans Light" w:hAnsi="Open Sans Light" w:cs="Open Sans Light"/>
          <w:color w:val="000000" w:themeColor="text1"/>
          <w:sz w:val="16"/>
          <w:szCs w:val="16"/>
        </w:rPr>
      </w:pPr>
      <w:r w:rsidRPr="005D3A14">
        <w:rPr>
          <w:rStyle w:val="Odwoanieprzypisudolnego"/>
          <w:rFonts w:ascii="Open Sans Light" w:hAnsi="Open Sans Light" w:cs="Open Sans Light"/>
          <w:color w:val="000000" w:themeColor="text1"/>
          <w:sz w:val="16"/>
          <w:szCs w:val="16"/>
        </w:rPr>
        <w:footnoteRef/>
      </w:r>
      <w:r w:rsidRPr="005D3A14">
        <w:rPr>
          <w:rFonts w:ascii="Open Sans Light" w:hAnsi="Open Sans Light" w:cs="Open Sans Light"/>
          <w:color w:val="000000" w:themeColor="text1"/>
          <w:sz w:val="16"/>
          <w:szCs w:val="16"/>
        </w:rPr>
        <w:t xml:space="preserve"> Liczba punktów procentowych jest ustalona przez instytucję przeprowadzającą nabór wniosków i uwzględniona w treści klauzuli dotyczącej waloryzacji dofinansowania zawartej w odpowiednich dokumentach związanych ze spełnieniem efektu zachęty, w szczególności we wniosku o dofinansowanie.</w:t>
      </w:r>
    </w:p>
  </w:footnote>
  <w:footnote w:id="3">
    <w:p w14:paraId="7813370C" w14:textId="77777777" w:rsidR="000F265F" w:rsidRPr="005D3A14" w:rsidRDefault="000F265F" w:rsidP="00725F6D">
      <w:pPr>
        <w:pStyle w:val="Tekstprzypisudolnego"/>
        <w:spacing w:line="276" w:lineRule="auto"/>
        <w:rPr>
          <w:rFonts w:ascii="Open Sans Light" w:hAnsi="Open Sans Light" w:cs="Open Sans Light"/>
          <w:color w:val="000000" w:themeColor="text1"/>
          <w:sz w:val="16"/>
          <w:szCs w:val="16"/>
        </w:rPr>
      </w:pPr>
      <w:r w:rsidRPr="005D3A14">
        <w:rPr>
          <w:rStyle w:val="Odwoanieprzypisudolnego"/>
          <w:rFonts w:ascii="Open Sans Light" w:hAnsi="Open Sans Light" w:cs="Open Sans Light"/>
          <w:color w:val="000000" w:themeColor="text1"/>
          <w:sz w:val="16"/>
          <w:szCs w:val="16"/>
        </w:rPr>
        <w:footnoteRef/>
      </w:r>
      <w:r w:rsidRPr="005D3A14">
        <w:rPr>
          <w:rFonts w:ascii="Open Sans Light" w:hAnsi="Open Sans Light" w:cs="Open Sans Light"/>
          <w:color w:val="000000" w:themeColor="text1"/>
          <w:sz w:val="16"/>
          <w:szCs w:val="16"/>
        </w:rPr>
        <w:t xml:space="preserve"> Można skorzystać z innego wskaźnika, niż średnioroczny wskaźnik cen towarów i usług konsumpcyjnych, jednak tylko wówczas, gdy jest on równie obiektywny, jak średnioroczny wskaźnik cen towarów i usług konsumpcyjnych. Zaleca się, żeby dla danego naboru został określony jeden wskaźnik dla wszystkich beneficjentów. Niepotrzebne należy wykreślić. Należy pozostawić wybrany wskaźnik.</w:t>
      </w:r>
    </w:p>
  </w:footnote>
  <w:footnote w:id="4">
    <w:p w14:paraId="1433B1D6" w14:textId="77777777" w:rsidR="000F265F" w:rsidRPr="005D3A14" w:rsidRDefault="000F265F" w:rsidP="00725F6D">
      <w:pPr>
        <w:pStyle w:val="Tekstprzypisudolnego"/>
        <w:spacing w:line="276" w:lineRule="auto"/>
        <w:rPr>
          <w:rFonts w:ascii="Open Sans Light" w:hAnsi="Open Sans Light" w:cs="Open Sans Light"/>
          <w:color w:val="000000" w:themeColor="text1"/>
          <w:sz w:val="16"/>
          <w:szCs w:val="16"/>
        </w:rPr>
      </w:pPr>
      <w:r w:rsidRPr="005D3A14">
        <w:rPr>
          <w:rStyle w:val="Odwoanieprzypisudolnego"/>
          <w:rFonts w:ascii="Open Sans Light" w:hAnsi="Open Sans Light" w:cs="Open Sans Light"/>
          <w:color w:val="000000" w:themeColor="text1"/>
          <w:sz w:val="16"/>
          <w:szCs w:val="16"/>
        </w:rPr>
        <w:footnoteRef/>
      </w:r>
      <w:r w:rsidRPr="005D3A14">
        <w:rPr>
          <w:rFonts w:ascii="Open Sans Light" w:hAnsi="Open Sans Light" w:cs="Open Sans Light"/>
          <w:color w:val="000000" w:themeColor="text1"/>
          <w:sz w:val="16"/>
          <w:szCs w:val="16"/>
        </w:rPr>
        <w:t xml:space="preserve"> Niepotrzebne należy wykreślić . Należy pozostawić wybrany wskaźnik.</w:t>
      </w:r>
    </w:p>
  </w:footnote>
  <w:footnote w:id="5">
    <w:p w14:paraId="1E3A1691" w14:textId="77777777" w:rsidR="000F265F" w:rsidRPr="005D3A14" w:rsidRDefault="000F265F" w:rsidP="00725F6D">
      <w:pPr>
        <w:pStyle w:val="Tekstprzypisudolnego"/>
        <w:spacing w:line="276" w:lineRule="auto"/>
        <w:rPr>
          <w:rFonts w:ascii="Open Sans Light" w:hAnsi="Open Sans Light" w:cs="Open Sans Light"/>
          <w:color w:val="000000" w:themeColor="text1"/>
        </w:rPr>
      </w:pPr>
      <w:r w:rsidRPr="005D3A14">
        <w:rPr>
          <w:rStyle w:val="Odwoanieprzypisudolnego"/>
          <w:rFonts w:ascii="Open Sans Light" w:hAnsi="Open Sans Light" w:cs="Open Sans Light"/>
          <w:color w:val="000000" w:themeColor="text1"/>
          <w:sz w:val="16"/>
          <w:szCs w:val="16"/>
        </w:rPr>
        <w:footnoteRef/>
      </w:r>
      <w:r w:rsidRPr="005D3A14">
        <w:rPr>
          <w:rFonts w:ascii="Open Sans Light" w:hAnsi="Open Sans Light" w:cs="Open Sans Light"/>
          <w:color w:val="000000" w:themeColor="text1"/>
          <w:sz w:val="16"/>
          <w:szCs w:val="16"/>
        </w:rPr>
        <w:t xml:space="preserve"> Wybór właściwej niezależnej instytucji publikującej dane np. Narodowego Banku Polskiego, Ministerstwa Finansów, Komisji Europejskiej czy OECD należy do Instytucji Wdrażającej/Instytucji Pośredniczącej. Odpowiednio dotyczy to innych wskaźników, jeśli mają one zastosowanie.</w:t>
      </w:r>
    </w:p>
  </w:footnote>
  <w:footnote w:id="6">
    <w:p w14:paraId="35807884" w14:textId="77777777" w:rsidR="000F265F" w:rsidRPr="005D3A14" w:rsidRDefault="000F265F" w:rsidP="00590D9C">
      <w:pPr>
        <w:pStyle w:val="Tekstprzypisudolnego"/>
        <w:spacing w:line="288" w:lineRule="auto"/>
        <w:rPr>
          <w:rFonts w:ascii="Open Sans Light" w:hAnsi="Open Sans Light" w:cs="Open Sans Light"/>
          <w:color w:val="000000" w:themeColor="text1"/>
          <w:sz w:val="16"/>
          <w:szCs w:val="16"/>
        </w:rPr>
      </w:pPr>
      <w:r w:rsidRPr="005D3A14">
        <w:rPr>
          <w:rStyle w:val="Odwoanieprzypisudolnego"/>
          <w:rFonts w:ascii="Open Sans Light" w:hAnsi="Open Sans Light" w:cs="Open Sans Light"/>
          <w:color w:val="000000" w:themeColor="text1"/>
          <w:sz w:val="16"/>
          <w:szCs w:val="16"/>
        </w:rPr>
        <w:footnoteRef/>
      </w:r>
      <w:r w:rsidRPr="005D3A14">
        <w:rPr>
          <w:rFonts w:ascii="Open Sans Light" w:hAnsi="Open Sans Light" w:cs="Open Sans Light"/>
          <w:color w:val="000000" w:themeColor="text1"/>
          <w:sz w:val="16"/>
          <w:szCs w:val="16"/>
        </w:rPr>
        <w:t xml:space="preserve"> Niepotrzebne należy wykreślić . Należy pozostawić wybrany wskaźnik.</w:t>
      </w:r>
    </w:p>
  </w:footnote>
  <w:footnote w:id="7">
    <w:p w14:paraId="1C9C3081" w14:textId="77777777" w:rsidR="000F265F" w:rsidRPr="005D3A14" w:rsidRDefault="000F265F" w:rsidP="00590D9C">
      <w:pPr>
        <w:pStyle w:val="Tekstprzypisudolnego"/>
        <w:spacing w:line="288" w:lineRule="auto"/>
        <w:rPr>
          <w:rFonts w:ascii="Open Sans Light" w:hAnsi="Open Sans Light" w:cs="Open Sans Light"/>
          <w:color w:val="000000" w:themeColor="text1"/>
          <w:sz w:val="16"/>
          <w:szCs w:val="16"/>
        </w:rPr>
      </w:pPr>
      <w:r w:rsidRPr="005D3A14">
        <w:rPr>
          <w:rStyle w:val="Odwoanieprzypisudolnego"/>
          <w:rFonts w:ascii="Open Sans Light" w:hAnsi="Open Sans Light" w:cs="Open Sans Light"/>
          <w:color w:val="000000" w:themeColor="text1"/>
          <w:sz w:val="16"/>
          <w:szCs w:val="16"/>
        </w:rPr>
        <w:footnoteRef/>
      </w:r>
      <w:r w:rsidRPr="005D3A14">
        <w:rPr>
          <w:rFonts w:ascii="Open Sans Light" w:hAnsi="Open Sans Light" w:cs="Open Sans Light"/>
          <w:color w:val="000000" w:themeColor="text1"/>
          <w:sz w:val="16"/>
          <w:szCs w:val="16"/>
        </w:rPr>
        <w:t xml:space="preserve"> Wielkość ta jest ustalona przez instytucję przeprowadzającą nabór wniosków i uwzględniona w treści klauzuli dotyczącej waloryzacji dofinansowania zawartej w odpowiednich dokumentach związanych ze spełnieniem efektu zachęty, w szczególności we wniosku o dofinansowanie.</w:t>
      </w:r>
    </w:p>
  </w:footnote>
  <w:footnote w:id="8">
    <w:p w14:paraId="2EFD8275" w14:textId="77777777" w:rsidR="000F265F" w:rsidRPr="005D3A14" w:rsidRDefault="000F265F" w:rsidP="00590D9C">
      <w:pPr>
        <w:pStyle w:val="Tekstprzypisudolnego"/>
        <w:spacing w:line="288" w:lineRule="auto"/>
        <w:rPr>
          <w:rFonts w:ascii="Open Sans Light" w:hAnsi="Open Sans Light" w:cs="Open Sans Light"/>
          <w:color w:val="000000" w:themeColor="text1"/>
        </w:rPr>
      </w:pPr>
      <w:r w:rsidRPr="005D3A14">
        <w:rPr>
          <w:rStyle w:val="Odwoanieprzypisudolnego"/>
          <w:rFonts w:ascii="Open Sans Light" w:hAnsi="Open Sans Light" w:cs="Open Sans Light"/>
          <w:color w:val="000000" w:themeColor="text1"/>
          <w:sz w:val="16"/>
          <w:szCs w:val="16"/>
        </w:rPr>
        <w:footnoteRef/>
      </w:r>
      <w:r w:rsidRPr="005D3A14">
        <w:rPr>
          <w:rFonts w:ascii="Open Sans Light" w:hAnsi="Open Sans Light" w:cs="Open Sans Light"/>
          <w:color w:val="000000" w:themeColor="text1"/>
          <w:sz w:val="16"/>
          <w:szCs w:val="16"/>
        </w:rPr>
        <w:t xml:space="preserve"> Instytucja Wdrażająca/Instytucja Pośrednicząca wskazuje konkretną kwotę, powyżej której nie można zwiększyć kwoty dofinansowania, co służy spełnieniu warunku przewidzianego przez ogólne rozporządzenie w sprawie </w:t>
      </w:r>
      <w:proofErr w:type="spellStart"/>
      <w:r w:rsidRPr="005D3A14">
        <w:rPr>
          <w:rFonts w:ascii="Open Sans Light" w:hAnsi="Open Sans Light" w:cs="Open Sans Light"/>
          <w:color w:val="000000" w:themeColor="text1"/>
          <w:sz w:val="16"/>
          <w:szCs w:val="16"/>
        </w:rPr>
        <w:t>wyłączeń</w:t>
      </w:r>
      <w:proofErr w:type="spellEnd"/>
      <w:r w:rsidRPr="005D3A14">
        <w:rPr>
          <w:rFonts w:ascii="Open Sans Light" w:hAnsi="Open Sans Light" w:cs="Open Sans Light"/>
          <w:color w:val="000000" w:themeColor="text1"/>
          <w:sz w:val="16"/>
          <w:szCs w:val="16"/>
        </w:rPr>
        <w:t xml:space="preserve"> grupowych, zgodnie z którym wniosek o pomoc powinien określać całkowitą kwotę pomocy.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093C9" w14:textId="0707ACE6" w:rsidR="000F265F" w:rsidRDefault="00A16000" w:rsidP="00A16000">
    <w:pPr>
      <w:pStyle w:val="Nagwek"/>
    </w:pPr>
    <w:r>
      <w:rPr>
        <w:noProof/>
      </w:rPr>
      <w:drawing>
        <wp:inline distT="0" distB="0" distL="0" distR="0" wp14:anchorId="4C80A262" wp14:editId="7DE27798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E1DB3A" w14:textId="77777777" w:rsidR="00A16000" w:rsidRPr="00F21253" w:rsidRDefault="00A16000" w:rsidP="00A16000">
    <w:pPr>
      <w:pStyle w:val="Nagwek"/>
      <w:spacing w:after="120"/>
      <w:rPr>
        <w:rFonts w:ascii="Open Sans Light" w:hAnsi="Open Sans Light"/>
      </w:rPr>
    </w:pP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7E18082B" w14:textId="0CCA3E70" w:rsidR="00A16000" w:rsidRPr="00A16000" w:rsidRDefault="00A16000" w:rsidP="00A16000">
    <w:pPr>
      <w:pStyle w:val="Nagwek"/>
      <w:spacing w:after="120"/>
      <w:rPr>
        <w:rFonts w:ascii="Open Sans Light" w:hAnsi="Open Sans Light"/>
      </w:rPr>
    </w:pPr>
    <w:r>
      <w:rPr>
        <w:rFonts w:ascii="Open Sans Light" w:hAnsi="Open Sans Light"/>
      </w:rPr>
      <w:t>Załącznik 3</w:t>
    </w:r>
    <w:r w:rsidR="00571160">
      <w:rPr>
        <w:rFonts w:ascii="Open Sans Light" w:hAnsi="Open Sans Light"/>
      </w:rPr>
      <w:t xml:space="preserve">8. </w:t>
    </w:r>
    <w:r>
      <w:rPr>
        <w:rFonts w:ascii="Open Sans Light" w:hAnsi="Open Sans Light" w:cs="Open Sans Light"/>
      </w:rPr>
      <w:t>Projekt klauzuli waloryzacyjnej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3A48F6"/>
    <w:multiLevelType w:val="hybridMultilevel"/>
    <w:tmpl w:val="E29284B2"/>
    <w:lvl w:ilvl="0" w:tplc="15DE2914">
      <w:start w:val="1"/>
      <w:numFmt w:val="decimal"/>
      <w:lvlText w:val="%1."/>
      <w:lvlJc w:val="left"/>
      <w:pPr>
        <w:ind w:left="1637" w:hanging="360"/>
      </w:pPr>
      <w:rPr>
        <w:rFonts w:ascii="Open Sans" w:eastAsia="Times New Roman" w:hAnsi="Open Sans" w:cs="Open Sans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731C4188"/>
    <w:multiLevelType w:val="hybridMultilevel"/>
    <w:tmpl w:val="8C004EA8"/>
    <w:lvl w:ilvl="0" w:tplc="38CA0D0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72515891">
    <w:abstractNumId w:val="0"/>
  </w:num>
  <w:num w:numId="2" w16cid:durableId="481042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5F"/>
    <w:rsid w:val="000F265F"/>
    <w:rsid w:val="000F771D"/>
    <w:rsid w:val="001C6888"/>
    <w:rsid w:val="001C76D2"/>
    <w:rsid w:val="00546743"/>
    <w:rsid w:val="00571160"/>
    <w:rsid w:val="00590D9C"/>
    <w:rsid w:val="005D3A14"/>
    <w:rsid w:val="00725F6D"/>
    <w:rsid w:val="00982177"/>
    <w:rsid w:val="009D1487"/>
    <w:rsid w:val="00A16000"/>
    <w:rsid w:val="00A50004"/>
    <w:rsid w:val="00BA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DCABC"/>
  <w15:chartTrackingRefBased/>
  <w15:docId w15:val="{B420CDAA-222C-40A8-9C1A-9FBAE05A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F26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26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265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26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265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26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26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26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6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265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26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265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265F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265F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26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26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26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6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F26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F26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26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F26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F26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F265F"/>
    <w:rPr>
      <w:i/>
      <w:iCs/>
      <w:color w:val="404040" w:themeColor="text1" w:themeTint="BF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F26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F265F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265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265F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F265F"/>
    <w:rPr>
      <w:b/>
      <w:bCs/>
      <w:smallCaps/>
      <w:color w:val="2E74B5" w:themeColor="accent1" w:themeShade="BF"/>
      <w:spacing w:val="5"/>
    </w:rPr>
  </w:style>
  <w:style w:type="character" w:customStyle="1" w:styleId="TekstprzypisudolnegoZnak1">
    <w:name w:val="Tekst przypisu dolnego Znak1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locked/>
    <w:rsid w:val="000F265F"/>
    <w:rPr>
      <w:rFonts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rsid w:val="000F265F"/>
    <w:rPr>
      <w:rFonts w:cs="Times New Roman"/>
      <w:vertAlign w:val="superscript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0F265F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0F265F"/>
  </w:style>
  <w:style w:type="character" w:customStyle="1" w:styleId="Tekstpodstawowy2Znak1">
    <w:name w:val="Tekst podstawowy 2 Znak1"/>
    <w:aliases w:val="Tekst podstawowy 2 Znak Znak Znak"/>
    <w:basedOn w:val="Domylnaczcionkaakapitu"/>
    <w:link w:val="Tekstpodstawowy2"/>
    <w:uiPriority w:val="99"/>
    <w:locked/>
    <w:rsid w:val="000F265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n,Schriftart"/>
    <w:basedOn w:val="Normalny"/>
    <w:link w:val="TekstprzypisudolnegoZnak1"/>
    <w:uiPriority w:val="99"/>
    <w:qFormat/>
    <w:rsid w:val="000F265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F265F"/>
    <w:rPr>
      <w:sz w:val="20"/>
      <w:szCs w:val="20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0F265F"/>
  </w:style>
  <w:style w:type="paragraph" w:styleId="Nagwek">
    <w:name w:val="header"/>
    <w:basedOn w:val="Normalny"/>
    <w:link w:val="NagwekZnak"/>
    <w:uiPriority w:val="99"/>
    <w:unhideWhenUsed/>
    <w:rsid w:val="000F2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65F"/>
  </w:style>
  <w:style w:type="paragraph" w:styleId="Stopka">
    <w:name w:val="footer"/>
    <w:basedOn w:val="Normalny"/>
    <w:link w:val="StopkaZnak"/>
    <w:uiPriority w:val="99"/>
    <w:unhideWhenUsed/>
    <w:rsid w:val="000F2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65F"/>
  </w:style>
  <w:style w:type="character" w:styleId="Odwoaniedokomentarza">
    <w:name w:val="annotation reference"/>
    <w:basedOn w:val="Domylnaczcionkaakapitu"/>
    <w:uiPriority w:val="99"/>
    <w:semiHidden/>
    <w:unhideWhenUsed/>
    <w:rsid w:val="00A160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60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0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0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0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301</Words>
  <Characters>2007</Characters>
  <Application>Microsoft Office Word</Application>
  <DocSecurity>0</DocSecurity>
  <Lines>35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38</dc:title>
  <dc:subject/>
  <dc:creator>Mikuszewski Dawid</dc:creator>
  <cp:keywords/>
  <dc:description/>
  <cp:lastModifiedBy>Cendrowska Anna</cp:lastModifiedBy>
  <cp:revision>6</cp:revision>
  <dcterms:created xsi:type="dcterms:W3CDTF">2024-11-28T10:14:00Z</dcterms:created>
  <dcterms:modified xsi:type="dcterms:W3CDTF">2026-01-09T00:02:00Z</dcterms:modified>
</cp:coreProperties>
</file>